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Счетная палата Российской Федерации</w:t>
            </w:r>
          </w:p>
        </w:tc>
        <w:tc>
          <w:p>
            <w:r>
              <w:rPr>
                <w:sz w:val="20"/>
              </w:rPr>
              <w:t>Груздев Владимир Михайлович, главный советник отдела по обеспечению деятельности Общественной приёмной Счётной палаты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Ковров Игорь Иванович, Заместитель начальника Административного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Счетная палата Российской Федерации</w:t>
            </w:r>
          </w:p>
        </w:tc>
        <w:tc>
          <w:p>
            <w:r>
              <w:rPr>
                <w:sz w:val="20"/>
              </w:rPr>
              <w:t>Полищук Ольга Вячеславовна, ведущий консультант отдела по работе с обращениями граждан и обеспечению деятельности Общественной приемной Счётной палаты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Ким Наталья Геннадиевна, отдел делопроизводства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морского и речного транспорта (Росморречфлот)</w:t>
            </w:r>
          </w:p>
        </w:tc>
        <w:tc>
          <w:p>
            <w:r>
              <w:rPr>
                <w:sz w:val="20"/>
              </w:rPr>
              <w:t>Лосев Сергей Михайлович, Начальник Административного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Счетная палата Российской Федерации</w:t>
            </w:r>
          </w:p>
        </w:tc>
        <w:tc>
          <w:p>
            <w:r>
              <w:rPr>
                <w:sz w:val="20"/>
              </w:rPr>
              <w:t>Калинина Надежда Димитриевна, советник отдела по работе с обращениями граждан и обеспечению деятельности Общественной приемной Счётной палаты Российской Федерации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