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сельского поселения Октябрьского муниципального района Челябинской области</w:t>
            </w:r>
          </w:p>
        </w:tc>
        <w:tc>
          <w:p>
            <w:r>
              <w:rPr>
                <w:sz w:val="20"/>
              </w:rPr>
              <w:t>Старикова Елена Васильевна,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Грязинского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Штанин Олег Валерьевич,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Куликовский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Некрасов Александр Сергеевич,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Челябинской области</w:t>
            </w:r>
          </w:p>
        </w:tc>
        <w:tc>
          <w:p>
            <w:r>
              <w:rPr>
                <w:sz w:val="20"/>
              </w:rPr>
              <w:t>Шаль Сергей Вернерович, Заместитель Губернатора Челябинской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